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268A" w14:textId="29BDA905" w:rsidR="000740BF" w:rsidRPr="000740BF" w:rsidRDefault="00B43BE8" w:rsidP="00074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DDFC" wp14:editId="2C17AD6E">
                <wp:simplePos x="0" y="0"/>
                <wp:positionH relativeFrom="column">
                  <wp:posOffset>1206500</wp:posOffset>
                </wp:positionH>
                <wp:positionV relativeFrom="paragraph">
                  <wp:posOffset>304800</wp:posOffset>
                </wp:positionV>
                <wp:extent cx="3251200" cy="0"/>
                <wp:effectExtent l="0" t="0" r="0" b="0"/>
                <wp:wrapNone/>
                <wp:docPr id="21070292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A8A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24pt" to="35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0740BF" w:rsidRPr="000740BF">
        <w:rPr>
          <w:rFonts w:ascii="Times New Roman" w:hAnsi="Times New Roman" w:cs="Times New Roman"/>
          <w:b/>
          <w:bCs/>
          <w:sz w:val="28"/>
          <w:szCs w:val="28"/>
        </w:rPr>
        <w:t>THÔNG BÁO CÔNG KHAI CHO CÁC BÊN LIÊN QUAN</w:t>
      </w:r>
    </w:p>
    <w:p w14:paraId="06196B41" w14:textId="689C22B4" w:rsidR="000740BF" w:rsidRPr="000740BF" w:rsidRDefault="000740BF" w:rsidP="000740BF">
      <w:pPr>
        <w:rPr>
          <w:rFonts w:ascii="Times New Roman" w:hAnsi="Times New Roman" w:cs="Times New Roman"/>
          <w:sz w:val="28"/>
          <w:szCs w:val="28"/>
        </w:rPr>
      </w:pPr>
    </w:p>
    <w:p w14:paraId="173F74F7" w14:textId="42E5535F" w:rsidR="000740BF" w:rsidRPr="000740BF" w:rsidRDefault="000740BF" w:rsidP="008E762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0BF">
        <w:rPr>
          <w:rFonts w:ascii="Times New Roman" w:hAnsi="Times New Roman" w:cs="Times New Roman"/>
          <w:sz w:val="28"/>
          <w:szCs w:val="28"/>
        </w:rPr>
        <w:t xml:space="preserve">Nestle Waters La Vie Long An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740BF">
        <w:rPr>
          <w:rFonts w:ascii="Times New Roman" w:hAnsi="Times New Roman" w:cs="Times New Roman"/>
          <w:sz w:val="28"/>
          <w:szCs w:val="28"/>
        </w:rPr>
        <w:t xml:space="preserve"> (AWS) </w:t>
      </w:r>
      <w:proofErr w:type="spellStart"/>
      <w:r w:rsidR="00F268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2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88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2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88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2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88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2688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0740BF" w:rsidRPr="000740BF" w14:paraId="0449A803" w14:textId="77777777" w:rsidTr="008E7624">
        <w:tc>
          <w:tcPr>
            <w:tcW w:w="4106" w:type="dxa"/>
          </w:tcPr>
          <w:p w14:paraId="0F5EBCAF" w14:textId="3E6D0705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379" w:type="dxa"/>
          </w:tcPr>
          <w:p w14:paraId="40793095" w14:textId="068EBC7C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Nestle Waters Nhà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máy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La Vie Long An</w:t>
            </w:r>
          </w:p>
        </w:tc>
      </w:tr>
      <w:tr w:rsidR="000740BF" w:rsidRPr="000740BF" w14:paraId="322DC9C3" w14:textId="77777777" w:rsidTr="008E7624">
        <w:tc>
          <w:tcPr>
            <w:tcW w:w="4106" w:type="dxa"/>
            <w:shd w:val="clear" w:color="auto" w:fill="auto"/>
          </w:tcPr>
          <w:p w14:paraId="18BF3370" w14:textId="7094CB12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C610C9C" w14:textId="6C5D5D5E" w:rsidR="000740BF" w:rsidRPr="000740BF" w:rsidRDefault="000740BF" w:rsidP="0007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Nhà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La Vie Long An,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1, Khánh Hậu, Tân An, Long An</w:t>
            </w:r>
          </w:p>
        </w:tc>
      </w:tr>
      <w:tr w:rsidR="000740BF" w:rsidRPr="000740BF" w14:paraId="5ECD38BD" w14:textId="77777777" w:rsidTr="008E7624">
        <w:tc>
          <w:tcPr>
            <w:tcW w:w="4106" w:type="dxa"/>
            <w:shd w:val="clear" w:color="auto" w:fill="auto"/>
          </w:tcPr>
          <w:p w14:paraId="21A218E1" w14:textId="77694EE9" w:rsidR="000740BF" w:rsidRPr="008E7624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Tọa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GPS </w:t>
            </w: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7624"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="008E7624"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7624"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62A13DD0" w14:textId="77777777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10.510628294514833, 106.3827911836029</w:t>
            </w: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</w:p>
        </w:tc>
      </w:tr>
      <w:tr w:rsidR="000740BF" w:rsidRPr="000740BF" w14:paraId="5677D798" w14:textId="77777777" w:rsidTr="008E7624">
        <w:tc>
          <w:tcPr>
            <w:tcW w:w="4106" w:type="dxa"/>
          </w:tcPr>
          <w:p w14:paraId="0206A53F" w14:textId="06EA7CFF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Quốc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6379" w:type="dxa"/>
          </w:tcPr>
          <w:p w14:paraId="53FE1BA8" w14:textId="0DEC08EA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Việt Nam</w:t>
            </w:r>
          </w:p>
        </w:tc>
      </w:tr>
      <w:tr w:rsidR="000740BF" w:rsidRPr="000740BF" w14:paraId="6AB3D20D" w14:textId="77777777" w:rsidTr="008E7624">
        <w:tc>
          <w:tcPr>
            <w:tcW w:w="4106" w:type="dxa"/>
          </w:tcPr>
          <w:p w14:paraId="4E96D1B6" w14:textId="57DF745C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đăng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AWS</w:t>
            </w:r>
          </w:p>
        </w:tc>
        <w:tc>
          <w:tcPr>
            <w:tcW w:w="6379" w:type="dxa"/>
          </w:tcPr>
          <w:p w14:paraId="0AF817C0" w14:textId="77777777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AWS-000113</w:t>
            </w:r>
          </w:p>
        </w:tc>
      </w:tr>
      <w:tr w:rsidR="000740BF" w:rsidRPr="000740BF" w14:paraId="2DA69ADB" w14:textId="77777777" w:rsidTr="008E7624">
        <w:tc>
          <w:tcPr>
            <w:tcW w:w="4106" w:type="dxa"/>
          </w:tcPr>
          <w:p w14:paraId="0F8E2A7F" w14:textId="307AE163" w:rsidR="000740BF" w:rsidRPr="008E7624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7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6379" w:type="dxa"/>
          </w:tcPr>
          <w:p w14:paraId="5C010195" w14:textId="77777777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Water Stewardship Assurance Services (WSAS)</w:t>
            </w:r>
          </w:p>
        </w:tc>
      </w:tr>
      <w:tr w:rsidR="000740BF" w:rsidRPr="000740BF" w14:paraId="3C9A1D81" w14:textId="77777777" w:rsidTr="008E7624">
        <w:tc>
          <w:tcPr>
            <w:tcW w:w="4106" w:type="dxa"/>
          </w:tcPr>
          <w:p w14:paraId="6B8F8259" w14:textId="3CA3D093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69691965"/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bắt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6379" w:type="dxa"/>
          </w:tcPr>
          <w:p w14:paraId="7B887269" w14:textId="576900D1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28/5/2025</w:t>
            </w:r>
          </w:p>
        </w:tc>
      </w:tr>
      <w:bookmarkEnd w:id="0"/>
      <w:tr w:rsidR="000740BF" w:rsidRPr="000740BF" w14:paraId="2399F54E" w14:textId="77777777" w:rsidTr="008E7624">
        <w:tc>
          <w:tcPr>
            <w:tcW w:w="4106" w:type="dxa"/>
          </w:tcPr>
          <w:p w14:paraId="7F6AC556" w14:textId="5BD8B4A9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thúc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6379" w:type="dxa"/>
          </w:tcPr>
          <w:p w14:paraId="3E216E87" w14:textId="4972902A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30/5/2025</w:t>
            </w:r>
          </w:p>
        </w:tc>
      </w:tr>
      <w:tr w:rsidR="000740BF" w:rsidRPr="000740BF" w14:paraId="3B1BC79E" w14:textId="77777777" w:rsidTr="008E7624">
        <w:tc>
          <w:tcPr>
            <w:tcW w:w="4106" w:type="dxa"/>
          </w:tcPr>
          <w:p w14:paraId="64647704" w14:textId="5ED1D57D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Hình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6379" w:type="dxa"/>
          </w:tcPr>
          <w:p w14:paraId="7D36D1CE" w14:textId="37E5B432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8E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62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8E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62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8E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62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</w:tr>
      <w:tr w:rsidR="000740BF" w:rsidRPr="000740BF" w14:paraId="16C78BD6" w14:textId="77777777" w:rsidTr="008E7624">
        <w:tc>
          <w:tcPr>
            <w:tcW w:w="4106" w:type="dxa"/>
          </w:tcPr>
          <w:p w14:paraId="33C5D4F0" w14:textId="3153FC05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6379" w:type="dxa"/>
          </w:tcPr>
          <w:p w14:paraId="4786BB2D" w14:textId="279014E6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</w:tr>
      <w:tr w:rsidR="000740BF" w:rsidRPr="000740BF" w14:paraId="22BBCC1D" w14:textId="77777777" w:rsidTr="008E7624">
        <w:tc>
          <w:tcPr>
            <w:tcW w:w="4106" w:type="dxa"/>
          </w:tcPr>
          <w:p w14:paraId="004C4618" w14:textId="0E4E26E5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Quy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6379" w:type="dxa"/>
          </w:tcPr>
          <w:p w14:paraId="0929C6C9" w14:textId="3AE3A63E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</w:p>
        </w:tc>
      </w:tr>
      <w:tr w:rsidR="000740BF" w:rsidRPr="000740BF" w14:paraId="7523BF43" w14:textId="77777777" w:rsidTr="008E7624">
        <w:tc>
          <w:tcPr>
            <w:tcW w:w="4106" w:type="dxa"/>
          </w:tcPr>
          <w:p w14:paraId="19923425" w14:textId="40F7B809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6379" w:type="dxa"/>
          </w:tcPr>
          <w:p w14:paraId="18E71BD7" w14:textId="483DE07D" w:rsidR="000740BF" w:rsidRPr="000740BF" w:rsidRDefault="000740BF" w:rsidP="0065579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Tái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chứng</w:t>
            </w:r>
            <w:proofErr w:type="spellEnd"/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740B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</w:p>
        </w:tc>
      </w:tr>
    </w:tbl>
    <w:p w14:paraId="776D5FB7" w14:textId="77777777" w:rsidR="000740BF" w:rsidRPr="000740BF" w:rsidRDefault="000740BF" w:rsidP="000740BF">
      <w:pPr>
        <w:pStyle w:val="Default"/>
        <w:rPr>
          <w:rFonts w:ascii="Times New Roman" w:hAnsi="Times New Roman" w:cs="Times New Roman"/>
          <w:sz w:val="28"/>
          <w:szCs w:val="28"/>
          <w:lang w:val="fr-FR"/>
        </w:rPr>
      </w:pPr>
    </w:p>
    <w:p w14:paraId="1CED20BF" w14:textId="2586D7B0" w:rsidR="000740BF" w:rsidRPr="000740BF" w:rsidRDefault="000740BF" w:rsidP="00B43BE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Theo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AWS,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mời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cung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cấp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​​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đang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trải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đánh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AWS.</w:t>
      </w:r>
    </w:p>
    <w:p w14:paraId="466F28D0" w14:textId="39AA8F8F" w:rsidR="000740BF" w:rsidRPr="000740BF" w:rsidRDefault="000740BF" w:rsidP="00B43BE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Công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gửi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​​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đánh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bộ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hạn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AWS,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cấp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Ngoài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ra,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sắp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phỏng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vấn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nhóm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đánh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gửi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​​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sắp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phỏng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vấn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lòng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gửi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email </w:t>
      </w:r>
      <w:proofErr w:type="spellStart"/>
      <w:r w:rsidRPr="000740BF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740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740BF">
        <w:rPr>
          <w:rFonts w:ascii="Times New Roman" w:hAnsi="Times New Roman" w:cs="Times New Roman"/>
          <w:b/>
          <w:bCs/>
          <w:sz w:val="28"/>
          <w:szCs w:val="28"/>
          <w:lang w:val="fr-FR"/>
        </w:rPr>
        <w:t>assurance@a4ws.org.</w:t>
      </w:r>
    </w:p>
    <w:p w14:paraId="13CE3D01" w14:textId="399DAEF8" w:rsidR="00262E11" w:rsidRPr="00F26888" w:rsidRDefault="000740BF" w:rsidP="00B43BE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Công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cũng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quản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(AWS)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đưa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ra ý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​​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Quy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khiếu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nại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kháng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cáo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88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F26888">
        <w:rPr>
          <w:rFonts w:ascii="Times New Roman" w:hAnsi="Times New Roman" w:cs="Times New Roman"/>
          <w:sz w:val="28"/>
          <w:szCs w:val="28"/>
          <w:lang w:val="fr-FR"/>
        </w:rPr>
        <w:t xml:space="preserve"> AWS (https://a4ws.org/about/comments-complaints-and-appeals).</w:t>
      </w:r>
    </w:p>
    <w:sectPr w:rsidR="00262E11" w:rsidRPr="00F2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7F11" w14:textId="77777777" w:rsidR="00F26888" w:rsidRDefault="00F26888" w:rsidP="00F26888">
      <w:pPr>
        <w:spacing w:after="0" w:line="240" w:lineRule="auto"/>
      </w:pPr>
      <w:r>
        <w:separator/>
      </w:r>
    </w:p>
  </w:endnote>
  <w:endnote w:type="continuationSeparator" w:id="0">
    <w:p w14:paraId="13DCD553" w14:textId="77777777" w:rsidR="00F26888" w:rsidRDefault="00F26888" w:rsidP="00F2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9AE5" w14:textId="77777777" w:rsidR="00F26888" w:rsidRDefault="00F26888" w:rsidP="00F26888">
      <w:pPr>
        <w:spacing w:after="0" w:line="240" w:lineRule="auto"/>
      </w:pPr>
      <w:r>
        <w:separator/>
      </w:r>
    </w:p>
  </w:footnote>
  <w:footnote w:type="continuationSeparator" w:id="0">
    <w:p w14:paraId="2FB68F36" w14:textId="77777777" w:rsidR="00F26888" w:rsidRDefault="00F26888" w:rsidP="00F2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F"/>
    <w:rsid w:val="000740BF"/>
    <w:rsid w:val="00262E11"/>
    <w:rsid w:val="002E02A9"/>
    <w:rsid w:val="005C48D3"/>
    <w:rsid w:val="00707A10"/>
    <w:rsid w:val="008E7624"/>
    <w:rsid w:val="00B43BE8"/>
    <w:rsid w:val="00F26888"/>
    <w:rsid w:val="00F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AE061D"/>
  <w15:chartTrackingRefBased/>
  <w15:docId w15:val="{EFE6E9A4-DCAB-4B4D-B70B-F0344A5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BF"/>
  </w:style>
  <w:style w:type="paragraph" w:styleId="Heading1">
    <w:name w:val="heading 1"/>
    <w:basedOn w:val="Normal"/>
    <w:next w:val="Normal"/>
    <w:link w:val="Heading1Char"/>
    <w:uiPriority w:val="9"/>
    <w:qFormat/>
    <w:rsid w:val="00074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0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40B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740BF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88"/>
  </w:style>
  <w:style w:type="paragraph" w:styleId="Footer">
    <w:name w:val="footer"/>
    <w:basedOn w:val="Normal"/>
    <w:link w:val="FooterChar"/>
    <w:uiPriority w:val="99"/>
    <w:unhideWhenUsed/>
    <w:rsid w:val="00F2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Hoang,Nguyen Thi Kim,VN-HOCHIMINH,Public Affairs</dc:creator>
  <cp:keywords/>
  <dc:description/>
  <cp:lastModifiedBy>Hoang,Nguyen Thi Kim,VN-HOCHIMINH,Public Affairs</cp:lastModifiedBy>
  <cp:revision>3</cp:revision>
  <dcterms:created xsi:type="dcterms:W3CDTF">2025-03-10T14:12:00Z</dcterms:created>
  <dcterms:modified xsi:type="dcterms:W3CDTF">2025-03-18T02:47:00Z</dcterms:modified>
</cp:coreProperties>
</file>